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00418AE"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65F3E">
        <w:rPr>
          <w:rFonts w:cs="B Mitra" w:hint="cs"/>
          <w:b/>
          <w:bCs/>
          <w:sz w:val="32"/>
          <w:szCs w:val="32"/>
          <w:rtl/>
          <w:lang w:bidi="fa-IR"/>
        </w:rPr>
        <w:t>4</w:t>
      </w:r>
      <w:r w:rsidR="00F86BDC">
        <w:rPr>
          <w:rFonts w:cs="B Mitra" w:hint="cs"/>
          <w:b/>
          <w:bCs/>
          <w:sz w:val="32"/>
          <w:szCs w:val="32"/>
          <w:rtl/>
          <w:lang w:bidi="fa-IR"/>
        </w:rPr>
        <w:t>4</w:t>
      </w:r>
    </w:p>
    <w:p w14:paraId="10297F50" w14:textId="77777777" w:rsidR="00F86BDC" w:rsidRDefault="00F86BDC" w:rsidP="00F86B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در خصوص مطلبی که محقق در ذيل کلام خود فرمود مبنی بر اين که اگر قبل از دخول، زن مهر المثل خود را ابراء کند، اين ابراء صحيح نيست، وجه اين قول همان گونه که خود ايشان نيز به آن اشاره کرده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قاعده معروف عدم جواز اسقاط ما لم يجب است، ولی اطلاق اين قاعده دارای اشکال بوده و قابل قبول نيست.</w:t>
      </w:r>
    </w:p>
    <w:p w14:paraId="2305E380" w14:textId="7D9D46D1" w:rsidR="00F86BDC" w:rsidRDefault="00F86BDC" w:rsidP="00F86B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اجمال مطلب اين است که يکی از ادله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ای که برای عدم امکان اسقاط ما لم يجب بيان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عدم جواز تعليق در عقود و ايقاعات است. ولی سابقاً گفتيم که تعليق در م</w:t>
      </w:r>
      <w:r w:rsidR="00614607">
        <w:rPr>
          <w:rFonts w:ascii="Traditional Arabic" w:hAnsi="Traditional Arabic" w:cs="Abz-2 (Badr)" w:hint="cs"/>
          <w:color w:val="000000"/>
          <w:spacing w:val="-2"/>
          <w:sz w:val="28"/>
          <w:szCs w:val="28"/>
          <w:rtl/>
          <w:lang w:bidi="fa-IR"/>
        </w:rPr>
        <w:t>ُ</w:t>
      </w:r>
      <w:r>
        <w:rPr>
          <w:rFonts w:ascii="Traditional Arabic" w:hAnsi="Traditional Arabic" w:cs="Abz-2 (Badr)" w:hint="cs"/>
          <w:color w:val="000000"/>
          <w:spacing w:val="-2"/>
          <w:sz w:val="28"/>
          <w:szCs w:val="28"/>
          <w:rtl/>
          <w:lang w:bidi="fa-IR"/>
        </w:rPr>
        <w:t>نشأ چه در عقود و چه در ايقاعات، دارای منع عقلی نيست و چنانچه عرفيت داشته باشد،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قائل به صحت چنين عقود و ايقاعاتی شد؛ مثلاً اگر زيد به کسی که عبد غير است بگويد: «أنت حرّ إن صرت عبدي»</w:t>
      </w:r>
      <w:r w:rsidR="00614607">
        <w:rPr>
          <w:rFonts w:ascii="Traditional Arabic" w:hAnsi="Traditional Arabic" w:cs="Abz-2 (Badr)" w:hint="cs"/>
          <w:color w:val="000000"/>
          <w:spacing w:val="-2"/>
          <w:sz w:val="28"/>
          <w:szCs w:val="28"/>
          <w:rtl/>
          <w:lang w:bidi="fa-IR"/>
        </w:rPr>
        <w:t xml:space="preserve"> می</w:t>
      </w:r>
      <w:r w:rsidR="00614607">
        <w:rPr>
          <w:rFonts w:ascii="Traditional Arabic" w:hAnsi="Traditional Arabic" w:cs="Abz-2 (Badr)"/>
          <w:color w:val="000000"/>
          <w:spacing w:val="-2"/>
          <w:sz w:val="28"/>
          <w:szCs w:val="28"/>
          <w:rtl/>
          <w:lang w:bidi="fa-IR"/>
        </w:rPr>
        <w:softHyphen/>
      </w:r>
      <w:r w:rsidR="00614607">
        <w:rPr>
          <w:rFonts w:ascii="Traditional Arabic" w:hAnsi="Traditional Arabic" w:cs="Abz-2 (Badr)" w:hint="cs"/>
          <w:color w:val="000000"/>
          <w:spacing w:val="-2"/>
          <w:sz w:val="28"/>
          <w:szCs w:val="28"/>
          <w:rtl/>
          <w:lang w:bidi="fa-IR"/>
        </w:rPr>
        <w:t>توان قائل به عتق عبد در صورتی شد که به ملکيت زي</w:t>
      </w:r>
      <w:r w:rsidR="001B2FBF">
        <w:rPr>
          <w:rFonts w:ascii="Traditional Arabic" w:hAnsi="Traditional Arabic" w:cs="Abz-2 (Badr)" w:hint="cs"/>
          <w:color w:val="000000"/>
          <w:spacing w:val="-2"/>
          <w:sz w:val="28"/>
          <w:szCs w:val="28"/>
          <w:rtl/>
          <w:lang w:bidi="fa-IR"/>
        </w:rPr>
        <w:t>د</w:t>
      </w:r>
      <w:r w:rsidR="00614607">
        <w:rPr>
          <w:rFonts w:ascii="Traditional Arabic" w:hAnsi="Traditional Arabic" w:cs="Abz-2 (Badr)" w:hint="cs"/>
          <w:color w:val="000000"/>
          <w:spacing w:val="-2"/>
          <w:sz w:val="28"/>
          <w:szCs w:val="28"/>
          <w:rtl/>
          <w:lang w:bidi="fa-IR"/>
        </w:rPr>
        <w:t xml:space="preserve"> درآيد</w:t>
      </w:r>
      <w:r>
        <w:rPr>
          <w:rFonts w:ascii="Traditional Arabic" w:hAnsi="Traditional Arabic" w:cs="Abz-2 (Badr)" w:hint="cs"/>
          <w:color w:val="000000"/>
          <w:spacing w:val="-2"/>
          <w:sz w:val="28"/>
          <w:szCs w:val="28"/>
          <w:rtl/>
          <w:lang w:bidi="fa-IR"/>
        </w:rPr>
        <w:t>. مؤيّد اين مطلب نيز جواز تدبير و وصيت تمکيکی است است، زيرا اگر تعليق در م</w:t>
      </w:r>
      <w:r w:rsidR="00614607">
        <w:rPr>
          <w:rFonts w:ascii="Traditional Arabic" w:hAnsi="Traditional Arabic" w:cs="Abz-2 (Badr)" w:hint="cs"/>
          <w:color w:val="000000"/>
          <w:spacing w:val="-2"/>
          <w:sz w:val="28"/>
          <w:szCs w:val="28"/>
          <w:rtl/>
          <w:lang w:bidi="fa-IR"/>
        </w:rPr>
        <w:t>ُ</w:t>
      </w:r>
      <w:r>
        <w:rPr>
          <w:rFonts w:ascii="Traditional Arabic" w:hAnsi="Traditional Arabic" w:cs="Abz-2 (Badr)" w:hint="cs"/>
          <w:color w:val="000000"/>
          <w:spacing w:val="-2"/>
          <w:sz w:val="28"/>
          <w:szCs w:val="28"/>
          <w:rtl/>
          <w:lang w:bidi="fa-IR"/>
        </w:rPr>
        <w:t>نشأ دارای اشکال عقلی باشد، قابليت استثنا نخواهد داشت.</w:t>
      </w:r>
    </w:p>
    <w:p w14:paraId="33F56B42" w14:textId="77777777" w:rsidR="00F86BDC" w:rsidRDefault="00F86BDC" w:rsidP="00F86B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دليل ديگری که برخی برای عدم جواز اسقاط ما لم يجب ذکر کرده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عرفی نبودن آن است؛ مثلاً اگر کسی در حالی که هنوز به کسی قرضی نداده است، بگويد: «أبرأت ذمّة کلّ من استقرضني» عرف اين عفو را دارای اثر ندانسته و پس از قرض، مطالبه آن را برای اين فرد جايز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شمرد، فلذا اگر بعداً و قبل از قرض بگويد: «از آنچه که سابقاً گفتم، رجوع کردم» و سپس به کسی مبلغی قرض بدهد، عرف حکم به عدم برائت ذمه مستقرض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 در حالی که اگر ابراء واقع شده باشد، قابل رجوع نخواهد بود.</w:t>
      </w:r>
    </w:p>
    <w:p w14:paraId="6920A0EF" w14:textId="77777777" w:rsidR="00F86BDC" w:rsidRDefault="00F86BDC" w:rsidP="00F86B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اين مطلب نيز هرچند اجمالاً قابل قبول است و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مواردی را در نظر گرفت که عرف، اسقاط ما لم يجب را دارای اثر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داند، اما به اطلاق خود صحيح نبوده و در برخی از موارد، عرف آن را صحيح دانسته و بر آن اثر مترتب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w:t>
      </w:r>
    </w:p>
    <w:p w14:paraId="23CAE87D" w14:textId="07878721" w:rsidR="00F86BDC" w:rsidRDefault="00F86BDC" w:rsidP="00F86B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lastRenderedPageBreak/>
        <w:t>يکی از مواردی که عرف اسقاط ما لم يجب را صحيح دانسته و اثر بر آن مترتب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 موردی است که هرچند خود آنچه که اسقاط شده است، ثابت نشده است، اما جزء سبب آن وجود دارد</w:t>
      </w:r>
      <w:r w:rsidR="00614607">
        <w:rPr>
          <w:rFonts w:ascii="Traditional Arabic" w:hAnsi="Traditional Arabic" w:cs="Abz-2 (Badr)" w:hint="cs"/>
          <w:color w:val="000000"/>
          <w:spacing w:val="-2"/>
          <w:sz w:val="28"/>
          <w:szCs w:val="28"/>
          <w:rtl/>
          <w:lang w:bidi="fa-IR"/>
        </w:rPr>
        <w:t>؛</w:t>
      </w:r>
      <w:r>
        <w:rPr>
          <w:rFonts w:ascii="Traditional Arabic" w:hAnsi="Traditional Arabic" w:cs="Abz-2 (Badr)" w:hint="cs"/>
          <w:color w:val="000000"/>
          <w:spacing w:val="-2"/>
          <w:sz w:val="28"/>
          <w:szCs w:val="28"/>
          <w:rtl/>
          <w:lang w:bidi="fa-IR"/>
        </w:rPr>
        <w:t xml:space="preserve"> مثلاً ثبوت حق شفعه منوط بر اين است که يکی از دو شريک سهم خود را به غير بفروشد، در حالی که به مجرد ايجاد شراکت و قبل از اين که بيعی واقع شده باشد، شرکا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توانند حق شفعه خود را اسقاط نمايند.</w:t>
      </w:r>
    </w:p>
    <w:p w14:paraId="3A45B9F5" w14:textId="77777777" w:rsidR="00F86BDC" w:rsidRDefault="00F86BDC" w:rsidP="00F86BDC">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همچنين يکی ديگر از اين موارد نيز در موردی است که آنچه که اسقاط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عرفاً در معرض ثبوت باشد، ولو هنوز ثابت نشده باشد؛ مثلاً اگر طبيب از مريض به نسبت به ضمان خسارت جانبی که در ضمن معالجه ممکن است متوجه او شود، اخذ برائت نمايد، عرف برائت مذکور را دارای اثر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داند و مشهور نيز قائل به همين شده است</w:t>
      </w:r>
      <w:r>
        <w:rPr>
          <w:vertAlign w:val="superscript"/>
          <w:rtl/>
        </w:rPr>
        <w:footnoteReference w:id="1"/>
      </w:r>
      <w:r>
        <w:rPr>
          <w:rFonts w:ascii="Traditional Arabic" w:hAnsi="Traditional Arabic" w:cs="Abz-2 (Badr)" w:hint="cs"/>
          <w:color w:val="000000"/>
          <w:spacing w:val="-2"/>
          <w:sz w:val="28"/>
          <w:szCs w:val="28"/>
          <w:rtl/>
          <w:lang w:bidi="fa-IR"/>
        </w:rPr>
        <w:t>، هرچند برخی مستند آن را معتبره سکونی</w:t>
      </w:r>
      <w:r>
        <w:rPr>
          <w:vertAlign w:val="superscript"/>
          <w:rtl/>
        </w:rPr>
        <w:footnoteReference w:id="2"/>
      </w:r>
      <w:r>
        <w:rPr>
          <w:rFonts w:ascii="Traditional Arabic" w:hAnsi="Traditional Arabic" w:cs="Abz-2 (Badr)" w:hint="cs"/>
          <w:color w:val="000000"/>
          <w:spacing w:val="-2"/>
          <w:sz w:val="28"/>
          <w:szCs w:val="28"/>
          <w:rtl/>
          <w:lang w:bidi="fa-IR"/>
        </w:rPr>
        <w:t xml:space="preserve"> دانسته و تخلف از قاعده را منحصر به همين مورد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دانند</w:t>
      </w:r>
      <w:r>
        <w:rPr>
          <w:vertAlign w:val="superscript"/>
          <w:rtl/>
        </w:rPr>
        <w:footnoteReference w:id="3"/>
      </w:r>
      <w:r>
        <w:rPr>
          <w:rFonts w:ascii="Traditional Arabic" w:hAnsi="Traditional Arabic" w:cs="Abz-2 (Badr)" w:hint="cs"/>
          <w:color w:val="000000"/>
          <w:spacing w:val="-2"/>
          <w:sz w:val="28"/>
          <w:szCs w:val="28"/>
          <w:rtl/>
          <w:lang w:bidi="fa-IR"/>
        </w:rPr>
        <w:t>، اما به نظر ما اين مطلب موافق با قاعده بوده و نص نيز بر طبق همان وارد شده است.</w:t>
      </w:r>
    </w:p>
    <w:p w14:paraId="3C99F569" w14:textId="646441FA" w:rsidR="006409CF" w:rsidRDefault="00F86BDC" w:rsidP="00614607">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lang w:bidi="fa-IR"/>
        </w:rPr>
      </w:pPr>
      <w:r>
        <w:rPr>
          <w:rFonts w:ascii="Traditional Arabic" w:hAnsi="Traditional Arabic" w:cs="Abz-2 (Badr)" w:hint="cs"/>
          <w:color w:val="000000"/>
          <w:spacing w:val="-2"/>
          <w:sz w:val="28"/>
          <w:szCs w:val="28"/>
          <w:rtl/>
          <w:lang w:bidi="fa-IR"/>
        </w:rPr>
        <w:t>به همين ترتيب در ما نحن فيه نيز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توان گفت: هرچند ثبوت مهر المثل منوط بر اين است که وطء محقق شود، اما چون جزء سبب آن ـ يعنی زوجيت ـ ايجاد شده است و زوجه نيز عرفاً در معرض وطء است، چنانچه زوجه ولو قبل از تحقق وطء، ذمه زوج را از مهر المثل ابراء نمايد، اين ابراء دارای اثر بوده و سبب سقوط ذمه </w:t>
      </w:r>
      <w:r w:rsidR="00614607">
        <w:rPr>
          <w:rFonts w:ascii="Traditional Arabic" w:hAnsi="Traditional Arabic" w:cs="Abz-2 (Badr)" w:hint="cs"/>
          <w:color w:val="000000"/>
          <w:spacing w:val="-2"/>
          <w:sz w:val="28"/>
          <w:szCs w:val="28"/>
          <w:rtl/>
          <w:lang w:bidi="fa-IR"/>
        </w:rPr>
        <w:t>زوج</w:t>
      </w:r>
      <w:r>
        <w:rPr>
          <w:rFonts w:ascii="Traditional Arabic" w:hAnsi="Traditional Arabic" w:cs="Abz-2 (Badr)" w:hint="cs"/>
          <w:color w:val="000000"/>
          <w:spacing w:val="-2"/>
          <w:sz w:val="28"/>
          <w:szCs w:val="28"/>
          <w:rtl/>
          <w:lang w:bidi="fa-IR"/>
        </w:rPr>
        <w:t xml:space="preserve"> بعد از وطء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w:t>
      </w:r>
    </w:p>
    <w:p w14:paraId="792EE4DE" w14:textId="2ABB053C" w:rsidR="00614607" w:rsidRPr="006C5213" w:rsidRDefault="00614607" w:rsidP="00614607">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بقيه مطالب اين بحث را جلسه بعد خدمتتان عرض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کنيم ان شاء الله.</w:t>
      </w:r>
    </w:p>
    <w:p w14:paraId="39201179" w14:textId="607C006F" w:rsidR="003077B0" w:rsidRPr="008C7B1F" w:rsidRDefault="003077B0" w:rsidP="00F86BDC">
      <w:pPr>
        <w:pStyle w:val="NormalWeb"/>
        <w:widowControl w:val="0"/>
        <w:bidi/>
        <w:spacing w:before="0" w:beforeAutospacing="0" w:after="0" w:afterAutospacing="0" w:line="259" w:lineRule="auto"/>
        <w:ind w:left="1701" w:firstLine="284"/>
        <w:jc w:val="both"/>
        <w:rPr>
          <w:rFonts w:ascii="Traditional Arabic" w:hAnsi="Traditional Arabic" w:cs="Abz-2 (Badr)"/>
          <w:color w:val="000000"/>
          <w:spacing w:val="-2"/>
          <w:sz w:val="28"/>
          <w:szCs w:val="28"/>
          <w:rtl/>
          <w:lang w:bidi="fa-IR"/>
        </w:rPr>
      </w:pPr>
    </w:p>
    <w:sectPr w:rsidR="003077B0" w:rsidRPr="008C7B1F" w:rsidSect="003A6D04">
      <w:headerReference w:type="default" r:id="rId7"/>
      <w:footerReference w:type="default" r:id="rId8"/>
      <w:footnotePr>
        <w:numRestart w:val="eachPage"/>
      </w:footnotePr>
      <w:pgSz w:w="12240" w:h="15840"/>
      <w:pgMar w:top="48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B77C4" w14:textId="77777777" w:rsidR="000A3107" w:rsidRDefault="000A3107" w:rsidP="00F71127">
      <w:pPr>
        <w:spacing w:after="0" w:line="240" w:lineRule="auto"/>
      </w:pPr>
      <w:r>
        <w:separator/>
      </w:r>
    </w:p>
  </w:endnote>
  <w:endnote w:type="continuationSeparator" w:id="0">
    <w:p w14:paraId="13B9BBDB" w14:textId="77777777" w:rsidR="000A3107" w:rsidRDefault="000A310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A881A" w14:textId="77777777" w:rsidR="000A3107" w:rsidRDefault="000A3107" w:rsidP="00EE25C0">
      <w:pPr>
        <w:bidi/>
        <w:spacing w:after="0" w:line="240" w:lineRule="auto"/>
      </w:pPr>
      <w:r>
        <w:separator/>
      </w:r>
    </w:p>
  </w:footnote>
  <w:footnote w:type="continuationSeparator" w:id="0">
    <w:p w14:paraId="15D7CBF9" w14:textId="77777777" w:rsidR="000A3107" w:rsidRDefault="000A3107" w:rsidP="00F71127">
      <w:pPr>
        <w:bidi/>
        <w:spacing w:after="0" w:line="240" w:lineRule="auto"/>
      </w:pPr>
      <w:r>
        <w:continuationSeparator/>
      </w:r>
    </w:p>
  </w:footnote>
  <w:footnote w:id="1">
    <w:p w14:paraId="771AECDF" w14:textId="77777777" w:rsidR="00F86BDC" w:rsidRPr="00474923" w:rsidRDefault="00F86BDC" w:rsidP="00F86BDC">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مستمس</w:t>
      </w:r>
      <w:r>
        <w:rPr>
          <w:rFonts w:cs="Abz-2 (Badr)" w:hint="cs"/>
          <w:rtl/>
        </w:rPr>
        <w:t>ك</w:t>
      </w:r>
      <w:r>
        <w:rPr>
          <w:rFonts w:cs="Abz-2 (Badr)" w:hint="cs"/>
          <w:rtl/>
          <w:lang w:bidi="fa-IR"/>
        </w:rPr>
        <w:t>،ج12،ص81</w:t>
      </w:r>
      <w:r w:rsidRPr="00474923">
        <w:rPr>
          <w:rFonts w:cs="Abz-2 (Badr)" w:hint="cs"/>
          <w:rtl/>
          <w:lang w:bidi="fa-IR"/>
        </w:rPr>
        <w:t>.</w:t>
      </w:r>
    </w:p>
  </w:footnote>
  <w:footnote w:id="2">
    <w:p w14:paraId="5EFE1EE5" w14:textId="77777777" w:rsidR="00F86BDC" w:rsidRPr="00474923" w:rsidRDefault="00F86BDC" w:rsidP="00F86BDC">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کافی،ج7،ص364،ح1 ـ وسائل،ج29،ص260،ح35582</w:t>
      </w:r>
      <w:r w:rsidRPr="00474923">
        <w:rPr>
          <w:rFonts w:cs="Abz-2 (Badr)" w:hint="cs"/>
          <w:rtl/>
          <w:lang w:bidi="fa-IR"/>
        </w:rPr>
        <w:t>.</w:t>
      </w:r>
    </w:p>
  </w:footnote>
  <w:footnote w:id="3">
    <w:p w14:paraId="55F42902" w14:textId="77777777" w:rsidR="00F86BDC" w:rsidRPr="00474923" w:rsidRDefault="00F86BDC" w:rsidP="00F86BDC">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موسوعة الإمام الخوئي،ج30،ص247</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FEE1" w14:textId="2FC7D66F" w:rsidR="003A6D04" w:rsidRDefault="003A6D04">
    <w:pPr>
      <w:pStyle w:val="Header"/>
    </w:pPr>
    <w:r>
      <w:rPr>
        <w:noProof/>
      </w:rPr>
      <mc:AlternateContent>
        <mc:Choice Requires="wps">
          <w:drawing>
            <wp:anchor distT="45720" distB="45720" distL="114300" distR="114300" simplePos="0" relativeHeight="251661312" behindDoc="0" locked="0" layoutInCell="1" allowOverlap="1" wp14:anchorId="207A220A" wp14:editId="1558A76B">
              <wp:simplePos x="0" y="0"/>
              <wp:positionH relativeFrom="column">
                <wp:posOffset>2099945</wp:posOffset>
              </wp:positionH>
              <wp:positionV relativeFrom="paragraph">
                <wp:posOffset>390525</wp:posOffset>
              </wp:positionV>
              <wp:extent cx="4076700" cy="1885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885950"/>
                      </a:xfrm>
                      <a:prstGeom prst="rect">
                        <a:avLst/>
                      </a:prstGeom>
                      <a:solidFill>
                        <a:srgbClr val="FFFFFF"/>
                      </a:solidFill>
                      <a:ln w="9525">
                        <a:noFill/>
                        <a:miter lim="800000"/>
                        <a:headEnd/>
                        <a:tailEnd/>
                      </a:ln>
                    </wps:spPr>
                    <wps:txbx>
                      <w:txbxContent>
                        <w:p w14:paraId="1DCA4464" w14:textId="33516FCD" w:rsidR="003A6D04" w:rsidRDefault="003A6D04" w:rsidP="003A6D04">
                          <w:pPr>
                            <w:bidi/>
                            <w:rPr>
                              <w:rFonts w:cs="B Mehr"/>
                            </w:rPr>
                          </w:pPr>
                          <w:r>
                            <w:rPr>
                              <w:rFonts w:cs="B Mehr" w:hint="cs"/>
                              <w:rtl/>
                            </w:rPr>
                            <w:t>تقریر درس خارج فقه،  استاد حاج سید علی موسوی اردبیلی</w:t>
                          </w:r>
                          <w:r>
                            <w:rPr>
                              <w:rFonts w:cs="B Mehr" w:hint="cs"/>
                            </w:rPr>
                            <w:t xml:space="preserve"> </w:t>
                          </w:r>
                        </w:p>
                        <w:p w14:paraId="73AE660D" w14:textId="77777777" w:rsidR="003A6D04" w:rsidRDefault="003A6D04" w:rsidP="003A6D04">
                          <w:pPr>
                            <w:jc w:val="right"/>
                            <w:rPr>
                              <w:rFonts w:cs="B Mehr"/>
                            </w:rPr>
                          </w:pPr>
                          <w:r>
                            <w:rPr>
                              <w:rFonts w:cs="B Mehr" w:hint="cs"/>
                              <w:rtl/>
                            </w:rPr>
                            <w:t xml:space="preserve">مبحث: نکاح    / مهر </w:t>
                          </w:r>
                        </w:p>
                        <w:p w14:paraId="048DE3A2" w14:textId="498EEE80" w:rsidR="003A6D04" w:rsidRDefault="003A6D04" w:rsidP="003A6D04">
                          <w:pPr>
                            <w:bidi/>
                          </w:pPr>
                          <w:r>
                            <w:rPr>
                              <w:rFonts w:cs="B Mehr" w:hint="cs"/>
                              <w:rtl/>
                            </w:rPr>
                            <w:t xml:space="preserve">تاریخ:  </w:t>
                          </w:r>
                          <w:r>
                            <w:rPr>
                              <w:rFonts w:cs="B Mehr" w:hint="cs"/>
                              <w:rtl/>
                              <w:lang w:bidi="fa-IR"/>
                            </w:rPr>
                            <w:t xml:space="preserve">    چهار شنبه</w:t>
                          </w:r>
                          <w:r>
                            <w:rPr>
                              <w:rFonts w:cs="B Mehr" w:hint="cs"/>
                              <w:rtl/>
                            </w:rPr>
                            <w:t xml:space="preserve">،   </w:t>
                          </w:r>
                          <w:r>
                            <w:rPr>
                              <w:rFonts w:cs="B Mehr" w:hint="cs"/>
                              <w:rtl/>
                            </w:rPr>
                            <w:t>12</w:t>
                          </w:r>
                          <w:r>
                            <w:rPr>
                              <w:rFonts w:cs="B Mehr" w:hint="cs"/>
                              <w:rtl/>
                            </w:rPr>
                            <w:t>آذر  ماه - 1402ه.ش</w:t>
                          </w:r>
                        </w:p>
                        <w:p w14:paraId="52626856" w14:textId="77777777" w:rsidR="003A6D04" w:rsidRDefault="003A6D04" w:rsidP="003A6D04"/>
                        <w:p w14:paraId="244984B5" w14:textId="77777777" w:rsidR="003A6D04" w:rsidRDefault="003A6D04" w:rsidP="003A6D04"/>
                        <w:p w14:paraId="3374E8F3" w14:textId="77777777" w:rsidR="003A6D04" w:rsidRDefault="003A6D04" w:rsidP="003A6D04"/>
                        <w:p w14:paraId="271979E9" w14:textId="77777777" w:rsidR="003A6D04" w:rsidRDefault="003A6D04" w:rsidP="003A6D04"/>
                        <w:p w14:paraId="1766AC00" w14:textId="77777777" w:rsidR="003A6D04" w:rsidRDefault="003A6D04" w:rsidP="003A6D04"/>
                        <w:p w14:paraId="58E132FF" w14:textId="77777777" w:rsidR="003A6D04" w:rsidRDefault="003A6D04" w:rsidP="003A6D04"/>
                        <w:p w14:paraId="526E46EA" w14:textId="77777777" w:rsidR="003A6D04" w:rsidRDefault="003A6D04" w:rsidP="003A6D04"/>
                        <w:p w14:paraId="04625076" w14:textId="701D68FC" w:rsidR="003A6D04" w:rsidRDefault="003A6D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7A220A" id="_x0000_t202" coordsize="21600,21600" o:spt="202" path="m,l,21600r21600,l21600,xe">
              <v:stroke joinstyle="miter"/>
              <v:path gradientshapeok="t" o:connecttype="rect"/>
            </v:shapetype>
            <v:shape id="Text Box 2" o:spid="_x0000_s1026" type="#_x0000_t202" style="position:absolute;margin-left:165.35pt;margin-top:30.75pt;width:321pt;height:14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" stroked="f">
              <v:textbox>
                <w:txbxContent>
                  <w:p w14:paraId="1DCA4464" w14:textId="33516FCD" w:rsidR="003A6D04" w:rsidRDefault="003A6D04" w:rsidP="003A6D04">
                    <w:pPr>
                      <w:bidi/>
                      <w:rPr>
                        <w:rFonts w:cs="B Mehr"/>
                      </w:rPr>
                    </w:pPr>
                    <w:r>
                      <w:rPr>
                        <w:rFonts w:cs="B Mehr" w:hint="cs"/>
                        <w:rtl/>
                      </w:rPr>
                      <w:t>تقریر درس خارج فقه،  استاد حاج سید علی موسوی اردبیلی</w:t>
                    </w:r>
                    <w:r>
                      <w:rPr>
                        <w:rFonts w:cs="B Mehr" w:hint="cs"/>
                      </w:rPr>
                      <w:t xml:space="preserve"> </w:t>
                    </w:r>
                  </w:p>
                  <w:p w14:paraId="73AE660D" w14:textId="77777777" w:rsidR="003A6D04" w:rsidRDefault="003A6D04" w:rsidP="003A6D04">
                    <w:pPr>
                      <w:jc w:val="right"/>
                      <w:rPr>
                        <w:rFonts w:cs="B Mehr"/>
                      </w:rPr>
                    </w:pPr>
                    <w:r>
                      <w:rPr>
                        <w:rFonts w:cs="B Mehr" w:hint="cs"/>
                        <w:rtl/>
                      </w:rPr>
                      <w:t xml:space="preserve">مبحث: نکاح    / مهر </w:t>
                    </w:r>
                  </w:p>
                  <w:p w14:paraId="048DE3A2" w14:textId="498EEE80" w:rsidR="003A6D04" w:rsidRDefault="003A6D04" w:rsidP="003A6D04">
                    <w:pPr>
                      <w:bidi/>
                    </w:pPr>
                    <w:r>
                      <w:rPr>
                        <w:rFonts w:cs="B Mehr" w:hint="cs"/>
                        <w:rtl/>
                      </w:rPr>
                      <w:t xml:space="preserve">تاریخ:  </w:t>
                    </w:r>
                    <w:r>
                      <w:rPr>
                        <w:rFonts w:cs="B Mehr" w:hint="cs"/>
                        <w:rtl/>
                        <w:lang w:bidi="fa-IR"/>
                      </w:rPr>
                      <w:t xml:space="preserve">    چهار شنبه</w:t>
                    </w:r>
                    <w:r>
                      <w:rPr>
                        <w:rFonts w:cs="B Mehr" w:hint="cs"/>
                        <w:rtl/>
                      </w:rPr>
                      <w:t xml:space="preserve">،   </w:t>
                    </w:r>
                    <w:r>
                      <w:rPr>
                        <w:rFonts w:cs="B Mehr" w:hint="cs"/>
                        <w:rtl/>
                      </w:rPr>
                      <w:t>12</w:t>
                    </w:r>
                    <w:r>
                      <w:rPr>
                        <w:rFonts w:cs="B Mehr" w:hint="cs"/>
                        <w:rtl/>
                      </w:rPr>
                      <w:t>آذر  ماه - 1402ه.ش</w:t>
                    </w:r>
                  </w:p>
                  <w:p w14:paraId="52626856" w14:textId="77777777" w:rsidR="003A6D04" w:rsidRDefault="003A6D04" w:rsidP="003A6D04"/>
                  <w:p w14:paraId="244984B5" w14:textId="77777777" w:rsidR="003A6D04" w:rsidRDefault="003A6D04" w:rsidP="003A6D04"/>
                  <w:p w14:paraId="3374E8F3" w14:textId="77777777" w:rsidR="003A6D04" w:rsidRDefault="003A6D04" w:rsidP="003A6D04"/>
                  <w:p w14:paraId="271979E9" w14:textId="77777777" w:rsidR="003A6D04" w:rsidRDefault="003A6D04" w:rsidP="003A6D04"/>
                  <w:p w14:paraId="1766AC00" w14:textId="77777777" w:rsidR="003A6D04" w:rsidRDefault="003A6D04" w:rsidP="003A6D04"/>
                  <w:p w14:paraId="58E132FF" w14:textId="77777777" w:rsidR="003A6D04" w:rsidRDefault="003A6D04" w:rsidP="003A6D04"/>
                  <w:p w14:paraId="526E46EA" w14:textId="77777777" w:rsidR="003A6D04" w:rsidRDefault="003A6D04" w:rsidP="003A6D04"/>
                  <w:p w14:paraId="04625076" w14:textId="701D68FC" w:rsidR="003A6D04" w:rsidRDefault="003A6D0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CE4BCDA" wp14:editId="1E2DFA2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107"/>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31BF"/>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4CFE"/>
    <w:rsid w:val="00335969"/>
    <w:rsid w:val="003361EF"/>
    <w:rsid w:val="00336518"/>
    <w:rsid w:val="00343E6A"/>
    <w:rsid w:val="00346F0F"/>
    <w:rsid w:val="00350588"/>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7F1"/>
    <w:rsid w:val="003A5C3E"/>
    <w:rsid w:val="003A6016"/>
    <w:rsid w:val="003A6044"/>
    <w:rsid w:val="003A6D04"/>
    <w:rsid w:val="003A6FE4"/>
    <w:rsid w:val="003B4E9E"/>
    <w:rsid w:val="003B63B4"/>
    <w:rsid w:val="003B7552"/>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9CF"/>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4B33"/>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9988</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1205</cp:revision>
  <cp:lastPrinted>2023-11-18T09:29:00Z</cp:lastPrinted>
  <dcterms:created xsi:type="dcterms:W3CDTF">2022-10-16T08:36:00Z</dcterms:created>
  <dcterms:modified xsi:type="dcterms:W3CDTF">2023-12-03T17:36:00Z</dcterms:modified>
</cp:coreProperties>
</file>